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DE" w:rsidRPr="00B124DE" w:rsidRDefault="00B124DE" w:rsidP="00D854C5">
      <w:pPr>
        <w:pStyle w:val="NoSpacing"/>
        <w:rPr>
          <w:b/>
          <w:i/>
          <w:sz w:val="28"/>
          <w:szCs w:val="28"/>
        </w:rPr>
      </w:pPr>
      <w:r w:rsidRPr="00B124DE">
        <w:rPr>
          <w:b/>
          <w:i/>
          <w:sz w:val="28"/>
          <w:szCs w:val="28"/>
        </w:rPr>
        <w:t>Monoclonal Antibodies</w:t>
      </w:r>
    </w:p>
    <w:p w:rsidR="00B124DE" w:rsidRDefault="00B124DE" w:rsidP="00D854C5">
      <w:pPr>
        <w:pStyle w:val="NoSpacing"/>
        <w:rPr>
          <w:sz w:val="28"/>
          <w:szCs w:val="28"/>
        </w:rPr>
      </w:pPr>
    </w:p>
    <w:p w:rsidR="00D854C5" w:rsidRPr="003D7E45" w:rsidRDefault="00D854C5" w:rsidP="00D854C5">
      <w:pPr>
        <w:pStyle w:val="NoSpacing"/>
        <w:rPr>
          <w:bCs/>
          <w:sz w:val="28"/>
          <w:szCs w:val="28"/>
        </w:rPr>
      </w:pPr>
      <w:r w:rsidRPr="00B124DE">
        <w:rPr>
          <w:sz w:val="28"/>
          <w:szCs w:val="28"/>
        </w:rPr>
        <w:t>The FDA has granted emergency use authorization (EUA) for three products for the treatment of COVID-19 infection in high risk, non-hospitalized patients: bamlanivimab-</w:t>
      </w:r>
      <w:proofErr w:type="spellStart"/>
      <w:r w:rsidRPr="00B124DE">
        <w:rPr>
          <w:sz w:val="28"/>
          <w:szCs w:val="28"/>
        </w:rPr>
        <w:t>etesivimab</w:t>
      </w:r>
      <w:proofErr w:type="spellEnd"/>
      <w:r w:rsidRPr="00B124DE">
        <w:rPr>
          <w:sz w:val="28"/>
          <w:szCs w:val="28"/>
        </w:rPr>
        <w:t xml:space="preserve"> (Eli Lilly), </w:t>
      </w:r>
      <w:proofErr w:type="spellStart"/>
      <w:r w:rsidRPr="00B124DE">
        <w:rPr>
          <w:sz w:val="28"/>
          <w:szCs w:val="28"/>
        </w:rPr>
        <w:t>casirivimab</w:t>
      </w:r>
      <w:proofErr w:type="spellEnd"/>
      <w:r w:rsidRPr="00B124DE">
        <w:rPr>
          <w:sz w:val="28"/>
          <w:szCs w:val="28"/>
        </w:rPr>
        <w:t xml:space="preserve">-imdevimab (Regeneron), </w:t>
      </w:r>
      <w:proofErr w:type="spellStart"/>
      <w:r w:rsidRPr="00B124DE">
        <w:rPr>
          <w:sz w:val="28"/>
          <w:szCs w:val="28"/>
        </w:rPr>
        <w:t>sotrovimab</w:t>
      </w:r>
      <w:proofErr w:type="spellEnd"/>
      <w:r w:rsidRPr="00B124DE">
        <w:rPr>
          <w:sz w:val="28"/>
          <w:szCs w:val="28"/>
        </w:rPr>
        <w:t xml:space="preserve"> (GSK). All three products have similar effectiveness and safety, and are used based on local drug availability and local information regarding COVID-19 variants. Real world data shows these therapies to be safe, with a 0.3% risk of serious side effect, and also to be very effective in decreasing the risk of hospitalization (up to 57%) and even </w:t>
      </w:r>
      <w:r w:rsidR="00286DAB" w:rsidRPr="00B124DE">
        <w:rPr>
          <w:sz w:val="28"/>
          <w:szCs w:val="28"/>
        </w:rPr>
        <w:t xml:space="preserve">death </w:t>
      </w:r>
      <w:r w:rsidR="00286DAB" w:rsidRPr="003D7E45">
        <w:rPr>
          <w:i/>
          <w:sz w:val="28"/>
          <w:szCs w:val="28"/>
        </w:rPr>
        <w:t xml:space="preserve">(Webb et al. </w:t>
      </w:r>
      <w:r w:rsidR="00286DAB" w:rsidRPr="003D7E45">
        <w:rPr>
          <w:bCs/>
          <w:i/>
          <w:sz w:val="28"/>
          <w:szCs w:val="28"/>
        </w:rPr>
        <w:t>Real-world Effectiveness and Tolerability of Monoclonal Antibody Therapy for Ambulatory</w:t>
      </w:r>
      <w:r w:rsidR="003D7E45" w:rsidRPr="003D7E45">
        <w:rPr>
          <w:bCs/>
          <w:i/>
          <w:sz w:val="28"/>
          <w:szCs w:val="28"/>
        </w:rPr>
        <w:t xml:space="preserve"> Patients w</w:t>
      </w:r>
      <w:r w:rsidR="00286DAB" w:rsidRPr="003D7E45">
        <w:rPr>
          <w:bCs/>
          <w:i/>
          <w:sz w:val="28"/>
          <w:szCs w:val="28"/>
        </w:rPr>
        <w:t xml:space="preserve">ith Early COVID-19. Open Forum </w:t>
      </w:r>
      <w:proofErr w:type="spellStart"/>
      <w:proofErr w:type="gramStart"/>
      <w:r w:rsidR="00286DAB" w:rsidRPr="003D7E45">
        <w:rPr>
          <w:bCs/>
          <w:i/>
          <w:sz w:val="28"/>
          <w:szCs w:val="28"/>
        </w:rPr>
        <w:t>Inf</w:t>
      </w:r>
      <w:proofErr w:type="spellEnd"/>
      <w:proofErr w:type="gramEnd"/>
      <w:r w:rsidR="00286DAB" w:rsidRPr="003D7E45">
        <w:rPr>
          <w:bCs/>
          <w:i/>
          <w:sz w:val="28"/>
          <w:szCs w:val="28"/>
        </w:rPr>
        <w:t xml:space="preserve"> Dis</w:t>
      </w:r>
      <w:r w:rsidR="003D7E45" w:rsidRPr="003D7E45">
        <w:rPr>
          <w:bCs/>
          <w:i/>
          <w:sz w:val="28"/>
          <w:szCs w:val="28"/>
        </w:rPr>
        <w:t xml:space="preserve"> 2021; 8(</w:t>
      </w:r>
      <w:r w:rsidR="00DA3792" w:rsidRPr="003D7E45">
        <w:rPr>
          <w:bCs/>
          <w:i/>
          <w:sz w:val="28"/>
          <w:szCs w:val="28"/>
        </w:rPr>
        <w:t>7):</w:t>
      </w:r>
      <w:r w:rsidR="003D7E45" w:rsidRPr="003D7E45">
        <w:rPr>
          <w:bCs/>
          <w:i/>
          <w:sz w:val="28"/>
          <w:szCs w:val="28"/>
        </w:rPr>
        <w:t>331).</w:t>
      </w:r>
    </w:p>
    <w:p w:rsidR="00A2760C" w:rsidRPr="003D7E45" w:rsidRDefault="00A2760C" w:rsidP="00D854C5">
      <w:pPr>
        <w:pStyle w:val="NoSpacing"/>
        <w:rPr>
          <w:b/>
          <w:bCs/>
          <w:sz w:val="24"/>
          <w:szCs w:val="24"/>
        </w:rPr>
      </w:pPr>
    </w:p>
    <w:p w:rsidR="00D854C5" w:rsidRDefault="00A2760C" w:rsidP="00D854C5">
      <w:pPr>
        <w:pStyle w:val="NoSpacing"/>
        <w:rPr>
          <w:b/>
          <w:i/>
          <w:sz w:val="28"/>
          <w:szCs w:val="28"/>
        </w:rPr>
      </w:pPr>
      <w:r>
        <w:rPr>
          <w:b/>
          <w:i/>
          <w:sz w:val="28"/>
          <w:szCs w:val="28"/>
        </w:rPr>
        <w:t>Availability</w:t>
      </w:r>
    </w:p>
    <w:p w:rsidR="00A2760C" w:rsidRPr="00B124DE" w:rsidRDefault="00A2760C" w:rsidP="00D854C5">
      <w:pPr>
        <w:pStyle w:val="NoSpacing"/>
        <w:rPr>
          <w:sz w:val="28"/>
          <w:szCs w:val="28"/>
        </w:rPr>
      </w:pPr>
    </w:p>
    <w:p w:rsidR="00286DAB" w:rsidRDefault="00D854C5" w:rsidP="00D854C5">
      <w:pPr>
        <w:pStyle w:val="NoSpacing"/>
        <w:rPr>
          <w:sz w:val="28"/>
          <w:szCs w:val="28"/>
        </w:rPr>
      </w:pPr>
      <w:r w:rsidRPr="00B124DE">
        <w:rPr>
          <w:sz w:val="28"/>
          <w:szCs w:val="28"/>
        </w:rPr>
        <w:t>As everyone is aware, the number of covid cases in the region has dramatically increased over the last few weeks, and the drug supply of monoclonal antibody therapies has unfortunately decreased over the same time. Although the team will continue to work to treat all eligible individuals, it is a near certainty that drug supply will not keep up with demand. If this becomes the case, the team will prioritize treating individuals who are at highest risk for progression for severe covid infection based on their medical conditions</w:t>
      </w:r>
      <w:r w:rsidR="006053FC" w:rsidRPr="00B124DE">
        <w:rPr>
          <w:sz w:val="28"/>
          <w:szCs w:val="28"/>
        </w:rPr>
        <w:t xml:space="preserve"> (a practice routinely used by other health care systems as well).</w:t>
      </w:r>
      <w:r w:rsidRPr="00B124DE">
        <w:rPr>
          <w:sz w:val="28"/>
          <w:szCs w:val="28"/>
        </w:rPr>
        <w:t xml:space="preserve"> </w:t>
      </w:r>
    </w:p>
    <w:p w:rsidR="00A2760C" w:rsidRPr="00B124DE" w:rsidRDefault="00A2760C" w:rsidP="00D854C5">
      <w:pPr>
        <w:pStyle w:val="NoSpacing"/>
        <w:rPr>
          <w:sz w:val="28"/>
          <w:szCs w:val="28"/>
        </w:rPr>
      </w:pPr>
    </w:p>
    <w:p w:rsidR="00286DAB" w:rsidRDefault="00A2760C" w:rsidP="00D854C5">
      <w:pPr>
        <w:pStyle w:val="NoSpacing"/>
        <w:rPr>
          <w:b/>
          <w:i/>
          <w:sz w:val="28"/>
          <w:szCs w:val="28"/>
        </w:rPr>
      </w:pPr>
      <w:r>
        <w:rPr>
          <w:b/>
          <w:i/>
          <w:sz w:val="28"/>
          <w:szCs w:val="28"/>
        </w:rPr>
        <w:t>Eligibility</w:t>
      </w:r>
    </w:p>
    <w:p w:rsidR="00A2760C" w:rsidRPr="00B124DE" w:rsidRDefault="00A2760C" w:rsidP="00D854C5">
      <w:pPr>
        <w:pStyle w:val="NoSpacing"/>
        <w:rPr>
          <w:sz w:val="28"/>
          <w:szCs w:val="28"/>
        </w:rPr>
      </w:pPr>
    </w:p>
    <w:p w:rsidR="00D854C5" w:rsidRPr="00B124DE" w:rsidRDefault="00D854C5" w:rsidP="00D854C5">
      <w:pPr>
        <w:pStyle w:val="NoSpacing"/>
        <w:rPr>
          <w:sz w:val="28"/>
          <w:szCs w:val="28"/>
        </w:rPr>
      </w:pPr>
      <w:r w:rsidRPr="00B124DE">
        <w:rPr>
          <w:sz w:val="28"/>
          <w:szCs w:val="28"/>
        </w:rPr>
        <w:t>Since this is a dynamic process that is frequently changing based on drug supply and community prevalence of covid, PCPs can continue to refer all eligible patients, but the team will use a scoring system to prioritize and schedule the highest risk patients. Patients who may not be scheduled will be notified in a timely fashion.</w:t>
      </w:r>
    </w:p>
    <w:p w:rsidR="003D7E45" w:rsidRDefault="003D7E45">
      <w:pPr>
        <w:rPr>
          <w:noProof/>
        </w:rPr>
      </w:pPr>
    </w:p>
    <w:p w:rsidR="003D7E45" w:rsidRDefault="003D7E45">
      <w:pPr>
        <w:rPr>
          <w:noProof/>
        </w:rPr>
      </w:pPr>
      <w:r>
        <w:rPr>
          <w:b/>
          <w:i/>
          <w:sz w:val="28"/>
          <w:szCs w:val="28"/>
        </w:rPr>
        <w:lastRenderedPageBreak/>
        <w:t>Scoring Tool:</w:t>
      </w:r>
    </w:p>
    <w:p w:rsidR="007B3D8B" w:rsidRDefault="00585BB6">
      <w:r>
        <w:rPr>
          <w:noProof/>
        </w:rPr>
        <w:drawing>
          <wp:inline distT="0" distB="0" distL="0" distR="0" wp14:anchorId="6C4459D3" wp14:editId="4DD9ED87">
            <wp:extent cx="5438775" cy="630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8775" cy="6305550"/>
                    </a:xfrm>
                    <a:prstGeom prst="rect">
                      <a:avLst/>
                    </a:prstGeom>
                  </pic:spPr>
                </pic:pic>
              </a:graphicData>
            </a:graphic>
          </wp:inline>
        </w:drawing>
      </w:r>
    </w:p>
    <w:p w:rsidR="00585BB6" w:rsidRDefault="00585BB6"/>
    <w:p w:rsidR="00585BB6" w:rsidRDefault="00585BB6"/>
    <w:p w:rsidR="00585BB6" w:rsidRDefault="00585BB6">
      <w:bookmarkStart w:id="0" w:name="_GoBack"/>
      <w:r>
        <w:rPr>
          <w:noProof/>
        </w:rPr>
        <w:drawing>
          <wp:inline distT="0" distB="0" distL="0" distR="0" wp14:anchorId="28E48D48" wp14:editId="74443A99">
            <wp:extent cx="5943600" cy="564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45150"/>
                    </a:xfrm>
                    <a:prstGeom prst="rect">
                      <a:avLst/>
                    </a:prstGeom>
                  </pic:spPr>
                </pic:pic>
              </a:graphicData>
            </a:graphic>
          </wp:inline>
        </w:drawing>
      </w:r>
      <w:bookmarkEnd w:id="0"/>
    </w:p>
    <w:sectPr w:rsidR="00585B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99" w:rsidRDefault="000F7199" w:rsidP="00585BB6">
      <w:pPr>
        <w:spacing w:after="0" w:line="240" w:lineRule="auto"/>
      </w:pPr>
      <w:r>
        <w:separator/>
      </w:r>
    </w:p>
  </w:endnote>
  <w:endnote w:type="continuationSeparator" w:id="0">
    <w:p w:rsidR="000F7199" w:rsidRDefault="000F7199" w:rsidP="0058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99" w:rsidRDefault="000F7199" w:rsidP="00585BB6">
      <w:pPr>
        <w:spacing w:after="0" w:line="240" w:lineRule="auto"/>
      </w:pPr>
      <w:r>
        <w:separator/>
      </w:r>
    </w:p>
  </w:footnote>
  <w:footnote w:type="continuationSeparator" w:id="0">
    <w:p w:rsidR="000F7199" w:rsidRDefault="000F7199" w:rsidP="0058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B6" w:rsidRDefault="00585BB6">
    <w:pPr>
      <w:pStyle w:val="Header"/>
    </w:pPr>
    <w:r>
      <w:rPr>
        <w:noProof/>
      </w:rPr>
      <w:drawing>
        <wp:inline distT="0" distB="0" distL="0" distR="0" wp14:anchorId="35C67FE9" wp14:editId="3A7F64EA">
          <wp:extent cx="18383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628650"/>
                  </a:xfrm>
                  <a:prstGeom prst="rect">
                    <a:avLst/>
                  </a:prstGeom>
                </pic:spPr>
              </pic:pic>
            </a:graphicData>
          </a:graphic>
        </wp:inline>
      </w:drawing>
    </w:r>
  </w:p>
  <w:p w:rsidR="00585BB6" w:rsidRDefault="00585BB6">
    <w:pPr>
      <w:pStyle w:val="Header"/>
    </w:pPr>
  </w:p>
  <w:p w:rsidR="00585BB6" w:rsidRDefault="00585BB6">
    <w:pPr>
      <w:pStyle w:val="Header"/>
    </w:pPr>
    <w:r>
      <w:rPr>
        <w:noProof/>
      </w:rPr>
      <w:drawing>
        <wp:inline distT="0" distB="0" distL="0" distR="0" wp14:anchorId="59404DC1" wp14:editId="5A81A36A">
          <wp:extent cx="546735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67350" cy="396875"/>
                  </a:xfrm>
                  <a:prstGeom prst="rect">
                    <a:avLst/>
                  </a:prstGeom>
                </pic:spPr>
              </pic:pic>
            </a:graphicData>
          </a:graphic>
        </wp:inline>
      </w:drawing>
    </w:r>
  </w:p>
  <w:p w:rsidR="00585BB6" w:rsidRDefault="00585BB6">
    <w:pPr>
      <w:pStyle w:val="Header"/>
    </w:pPr>
  </w:p>
  <w:p w:rsidR="00585BB6" w:rsidRDefault="0058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0F32"/>
    <w:multiLevelType w:val="hybridMultilevel"/>
    <w:tmpl w:val="6C10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6"/>
    <w:rsid w:val="000B6BEC"/>
    <w:rsid w:val="000F7199"/>
    <w:rsid w:val="00173C38"/>
    <w:rsid w:val="00173C98"/>
    <w:rsid w:val="001A227D"/>
    <w:rsid w:val="00286DAB"/>
    <w:rsid w:val="003D7E45"/>
    <w:rsid w:val="00585BB6"/>
    <w:rsid w:val="006053FC"/>
    <w:rsid w:val="007558FB"/>
    <w:rsid w:val="007B3D8B"/>
    <w:rsid w:val="008901D0"/>
    <w:rsid w:val="008F3607"/>
    <w:rsid w:val="00A2760C"/>
    <w:rsid w:val="00B124DE"/>
    <w:rsid w:val="00D1424C"/>
    <w:rsid w:val="00D854C5"/>
    <w:rsid w:val="00DA3792"/>
    <w:rsid w:val="00E7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09A46-FD6E-473A-B00D-55C99E2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B6"/>
  </w:style>
  <w:style w:type="paragraph" w:styleId="Footer">
    <w:name w:val="footer"/>
    <w:basedOn w:val="Normal"/>
    <w:link w:val="FooterChar"/>
    <w:uiPriority w:val="99"/>
    <w:unhideWhenUsed/>
    <w:rsid w:val="0058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B6"/>
  </w:style>
  <w:style w:type="paragraph" w:styleId="ListParagraph">
    <w:name w:val="List Paragraph"/>
    <w:basedOn w:val="Normal"/>
    <w:uiPriority w:val="34"/>
    <w:qFormat/>
    <w:rsid w:val="007558F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8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C5"/>
    <w:rPr>
      <w:rFonts w:ascii="Segoe UI" w:hAnsi="Segoe UI" w:cs="Segoe UI"/>
      <w:sz w:val="18"/>
      <w:szCs w:val="18"/>
    </w:rPr>
  </w:style>
  <w:style w:type="paragraph" w:styleId="NoSpacing">
    <w:name w:val="No Spacing"/>
    <w:uiPriority w:val="1"/>
    <w:qFormat/>
    <w:rsid w:val="00D854C5"/>
    <w:pPr>
      <w:spacing w:after="0" w:line="240" w:lineRule="auto"/>
    </w:pPr>
  </w:style>
  <w:style w:type="character" w:customStyle="1" w:styleId="Heading1Char">
    <w:name w:val="Heading 1 Char"/>
    <w:basedOn w:val="DefaultParagraphFont"/>
    <w:link w:val="Heading1"/>
    <w:uiPriority w:val="9"/>
    <w:rsid w:val="00286D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4367">
      <w:bodyDiv w:val="1"/>
      <w:marLeft w:val="0"/>
      <w:marRight w:val="0"/>
      <w:marTop w:val="0"/>
      <w:marBottom w:val="0"/>
      <w:divBdr>
        <w:top w:val="none" w:sz="0" w:space="0" w:color="auto"/>
        <w:left w:val="none" w:sz="0" w:space="0" w:color="auto"/>
        <w:bottom w:val="none" w:sz="0" w:space="0" w:color="auto"/>
        <w:right w:val="none" w:sz="0" w:space="0" w:color="auto"/>
      </w:divBdr>
    </w:div>
    <w:div w:id="18452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Melissa</dc:creator>
  <cp:keywords/>
  <dc:description/>
  <cp:lastModifiedBy>Mustafa, Shahzad</cp:lastModifiedBy>
  <cp:revision>3</cp:revision>
  <cp:lastPrinted>2021-12-08T22:12:00Z</cp:lastPrinted>
  <dcterms:created xsi:type="dcterms:W3CDTF">2021-12-09T02:03:00Z</dcterms:created>
  <dcterms:modified xsi:type="dcterms:W3CDTF">2021-12-09T02:08:00Z</dcterms:modified>
</cp:coreProperties>
</file>